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36.72607421875" w:line="240" w:lineRule="auto"/>
        <w:ind w:left="-566.9291338582677" w:right="-615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CHAMADA SEMADESC/FUNDECT/CNPq/Decit-SECTICS-MS 06/2025 - PPSUS-MS 2024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-566.9291338582677" w:right="-615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PROGRAMA PESQUISA PARA O SUS: GESTÃO COMPARTILHADA EM SAÚDE (PPSUS) 2024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ANEXO II - PLANO DE TRADUÇÃO E DISSEMINAÇÃO DO CONHECIMENTO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ESTE FORMULÁRIO DEVERÁ SER PREENCHIDO E SUBMETIDO NO SISC&amp;T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-5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55"/>
        <w:tblGridChange w:id="0">
          <w:tblGrid>
            <w:gridCol w:w="10155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shd w:fill="d8d8d8" w:val="clear"/>
          </w:tcPr>
          <w:p w:rsidR="00000000" w:rsidDel="00000000" w:rsidP="00000000" w:rsidRDefault="00000000" w:rsidRPr="00000000" w14:paraId="00000007">
            <w:pPr>
              <w:widowControl w:val="0"/>
              <w:spacing w:line="273" w:lineRule="auto"/>
              <w:ind w:left="7" w:right="2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Plano de Tradução e Disseminação do Conhecimento</w:t>
            </w:r>
          </w:p>
          <w:p w:rsidR="00000000" w:rsidDel="00000000" w:rsidP="00000000" w:rsidRDefault="00000000" w:rsidRPr="00000000" w14:paraId="00000008">
            <w:pPr>
              <w:widowControl w:val="0"/>
              <w:spacing w:before="1" w:line="212" w:lineRule="auto"/>
              <w:ind w:left="7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(máximo de 4 mil caracteres com espaço. Permitido uma tabela e uma figura)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widowControl w:val="0"/>
              <w:spacing w:line="251" w:lineRule="auto"/>
              <w:ind w:left="107" w:right="92.00787401574928" w:firstLine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Apresentação: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Para o plano de tradução e disseminação do conhecimento científico, será considerada a existência de estratégias para comunicar e disseminar os resultados para os gestores do SUS, voltadas para a gestão; e potencial impacto e relevância do projeto para a inovação em saúde no país. É fundamental que neste plano estejam detalhadas as ações a serem realizadas durante e após a execução do projeto de pesquisa, em linguagem acessível, e que respondam em quais medidas os resultados científicos da pesquisa contribuem para a saúde pública. Serão consideradas, para fins de pontuação, estratégias inovadoras de tradução e disseminação do conhecimento como, por exemplo, resumos executivos, infográficos, painéis, sistemas etc. Não serão consideradas, de forma isolada, as formas de divulgação científica tradicional em artigos e eventos científicos. Serão pontuados:</w:t>
            </w:r>
          </w:p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827"/>
              </w:tabs>
              <w:spacing w:line="240" w:lineRule="auto"/>
              <w:ind w:left="141.73228346456688" w:right="92.00787401574928" w:firstLine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a) Plano de disseminação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: a proposta apresenta um plano de disseminação detalhado e específico para cada público (gestores de saúde, profissionais de saúde e usuários);</w:t>
            </w:r>
          </w:p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827"/>
              </w:tabs>
              <w:spacing w:line="240" w:lineRule="auto"/>
              <w:ind w:left="141.73228346456688" w:right="92.00787401574928" w:firstLine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Ações de divulgação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: a proposta apresenta estratégias de divulgação dos resultados bem definidas para atingir os diferentes públicos;</w:t>
            </w:r>
          </w:p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827"/>
              </w:tabs>
              <w:spacing w:line="240" w:lineRule="auto"/>
              <w:ind w:left="141.73228346456688" w:right="92.00787401574928" w:firstLine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c) Ferramentas e produtos para tradução do conhecimento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: a proposta contribui com estratégias para o enfrentamento a desinformação por meio de produtos e ferramentas flexíveis e adaptáveis e linguagem acessível aos diferentes públicos.</w:t>
            </w:r>
          </w:p>
        </w:tc>
      </w:tr>
      <w:tr>
        <w:trPr>
          <w:cantSplit w:val="0"/>
          <w:trHeight w:val="85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327"/>
              </w:tabs>
              <w:spacing w:line="251" w:lineRule="auto"/>
              <w:ind w:left="141.73228346456688" w:right="92.00787401574928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1. Objetivo do Plano:</w:t>
            </w:r>
          </w:p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327"/>
              </w:tabs>
              <w:spacing w:line="251" w:lineRule="auto"/>
              <w:ind w:left="141.73228346456688" w:right="92.0078740157492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8"/>
                <w:szCs w:val="18"/>
                <w:rtl w:val="0"/>
              </w:rPr>
              <w:t xml:space="preserve">Definir claramente os objetivos do PTDC, como aumentar a conscientização sobre novos tratamentos, melhorar a prática clínica, ou influenciar políticas de saúde.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tabs>
                <w:tab w:val="left" w:leader="none" w:pos="327"/>
              </w:tabs>
              <w:spacing w:before="1" w:line="240" w:lineRule="auto"/>
              <w:ind w:left="141.73228346456688" w:right="92.0078740157492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2. Identificação do Público-Alvo: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18"/>
                <w:szCs w:val="18"/>
                <w:rtl w:val="0"/>
              </w:rPr>
              <w:t xml:space="preserve">- Profissionais de Saúde: Médicos, enfermeiros, farmacêuticos, fisioterapeutas, etc.;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tabs>
                <w:tab w:val="left" w:leader="none" w:pos="827"/>
              </w:tabs>
              <w:spacing w:line="269" w:lineRule="auto"/>
              <w:ind w:left="141.73228346456688" w:right="92.0078740157492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8"/>
                <w:szCs w:val="18"/>
                <w:rtl w:val="0"/>
              </w:rPr>
              <w:t xml:space="preserve">- Pacientes e Cuidadores: Indivíduos diretamente afetados pela condição de saúde em questão;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tabs>
                <w:tab w:val="left" w:leader="none" w:pos="827"/>
              </w:tabs>
              <w:spacing w:line="240" w:lineRule="auto"/>
              <w:ind w:left="141.73228346456688" w:right="92.0078740157492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8"/>
                <w:szCs w:val="18"/>
                <w:rtl w:val="0"/>
              </w:rPr>
              <w:t xml:space="preserve">- Gestores de Saúde e Políticos: Decisores que podem implementar mudanças em políticas e práticas;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827"/>
              </w:tabs>
              <w:spacing w:before="1" w:line="269" w:lineRule="auto"/>
              <w:ind w:left="141.73228346456688" w:right="92.0078740157492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8"/>
                <w:szCs w:val="18"/>
                <w:rtl w:val="0"/>
              </w:rPr>
              <w:t xml:space="preserve">- Pesquisadores: Comunidade científica que pode utilizar e expandir o conhecimento;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827"/>
              </w:tabs>
              <w:spacing w:line="256" w:lineRule="auto"/>
              <w:ind w:left="141.73228346456688" w:right="92.0078740157492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8"/>
                <w:szCs w:val="18"/>
                <w:rtl w:val="0"/>
              </w:rPr>
              <w:t xml:space="preserve">- Público Geral: Educação e conscientização do público em geral sobre questões de saúde.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tabs>
                <w:tab w:val="left" w:leader="none" w:pos="327"/>
              </w:tabs>
              <w:spacing w:line="251" w:lineRule="auto"/>
              <w:ind w:left="327" w:hanging="22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Estratégias de tradução de conhecimento:</w:t>
            </w:r>
          </w:p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327"/>
              </w:tabs>
              <w:spacing w:line="251" w:lineRule="auto"/>
              <w:ind w:left="141.73228346456688" w:firstLine="0"/>
              <w:rPr>
                <w:rFonts w:ascii="Verdana" w:cs="Verdana" w:eastAsia="Verdana" w:hAnsi="Verdan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8"/>
                <w:szCs w:val="18"/>
                <w:rtl w:val="0"/>
              </w:rPr>
              <w:t xml:space="preserve">- Adaptar a linguagem e formato: Personalizar a informação de acordo com o público-alvo, utilizando uma linguagem acessível e formatos apropriados (relatórios, infográficos, vídeos, etc.);</w:t>
            </w:r>
          </w:p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327"/>
              </w:tabs>
              <w:spacing w:line="251" w:lineRule="auto"/>
              <w:ind w:left="141.73228346456688" w:firstLine="0"/>
              <w:rPr>
                <w:rFonts w:ascii="Verdana" w:cs="Verdana" w:eastAsia="Verdana" w:hAnsi="Verdan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8"/>
                <w:szCs w:val="18"/>
                <w:rtl w:val="0"/>
              </w:rPr>
              <w:t xml:space="preserve">- Desenvolvimento de materiais de apoio: Guias, folhetos, aplicativos móveis,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color w:val="ff0000"/>
                <w:sz w:val="18"/>
                <w:szCs w:val="18"/>
                <w:rtl w:val="0"/>
              </w:rPr>
              <w:t xml:space="preserve">e-learning, webinars</w:t>
            </w:r>
            <w:r w:rsidDel="00000000" w:rsidR="00000000" w:rsidRPr="00000000">
              <w:rPr>
                <w:rFonts w:ascii="Verdana" w:cs="Verdana" w:eastAsia="Verdana" w:hAnsi="Verdana"/>
                <w:color w:val="ff0000"/>
                <w:sz w:val="18"/>
                <w:szCs w:val="18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327"/>
              </w:tabs>
              <w:spacing w:line="251" w:lineRule="auto"/>
              <w:ind w:left="141.73228346456688" w:firstLine="0"/>
              <w:rPr>
                <w:rFonts w:ascii="Verdana" w:cs="Verdana" w:eastAsia="Verdana" w:hAnsi="Verdan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8"/>
                <w:szCs w:val="18"/>
                <w:rtl w:val="0"/>
              </w:rPr>
              <w:t xml:space="preserve">- Capacitação: Treinamento para profissionais de saúde sobre como aplicar o conhecimento na prática.</w:t>
            </w:r>
          </w:p>
        </w:tc>
      </w:tr>
      <w:tr>
        <w:trPr>
          <w:cantSplit w:val="0"/>
          <w:trHeight w:val="1436.503784179687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327"/>
              </w:tabs>
              <w:spacing w:line="251" w:lineRule="auto"/>
              <w:ind w:left="327" w:hanging="22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4. Estratégias e Disseminação:</w:t>
            </w:r>
          </w:p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327"/>
              </w:tabs>
              <w:spacing w:line="251" w:lineRule="auto"/>
              <w:ind w:left="327" w:hanging="220"/>
              <w:rPr>
                <w:rFonts w:ascii="Verdana" w:cs="Verdana" w:eastAsia="Verdana" w:hAnsi="Verdan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8"/>
                <w:szCs w:val="18"/>
                <w:rtl w:val="0"/>
              </w:rPr>
              <w:t xml:space="preserve">- Canais de comunicação: Publicações em revistas científicas, conferências, workshops, redes sociais, blogs, newsletters, e comunicação direta via e-mail;</w:t>
            </w:r>
          </w:p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327"/>
              </w:tabs>
              <w:spacing w:line="251" w:lineRule="auto"/>
              <w:ind w:left="327" w:hanging="220"/>
              <w:rPr>
                <w:rFonts w:ascii="Verdana" w:cs="Verdana" w:eastAsia="Verdana" w:hAnsi="Verdan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8"/>
                <w:szCs w:val="18"/>
                <w:rtl w:val="0"/>
              </w:rPr>
              <w:t xml:space="preserve">- Parcerias: Colaborar com associações profissionais, instituições de ensino, ONGs e grupos comunitários;</w:t>
            </w:r>
          </w:p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327"/>
              </w:tabs>
              <w:spacing w:line="251" w:lineRule="auto"/>
              <w:ind w:left="327" w:hanging="220"/>
              <w:rPr>
                <w:rFonts w:ascii="Verdana" w:cs="Verdana" w:eastAsia="Verdana" w:hAnsi="Verdan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8"/>
                <w:szCs w:val="18"/>
                <w:rtl w:val="0"/>
              </w:rPr>
              <w:t xml:space="preserve">- Eventos e workshops: Organizar ou participar de eventos para apresentar e discutir novas evidências;</w:t>
            </w:r>
          </w:p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327"/>
              </w:tabs>
              <w:spacing w:line="251" w:lineRule="auto"/>
              <w:ind w:left="327" w:hanging="22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8"/>
                <w:szCs w:val="18"/>
                <w:rtl w:val="0"/>
              </w:rPr>
              <w:t xml:space="preserve">- Plataformas online: Criar e manter websites, repositórios de dados e fóruns para troca de conhecimento.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327"/>
              </w:tabs>
              <w:spacing w:line="251" w:lineRule="auto"/>
              <w:ind w:left="327" w:hanging="22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5. Gestão de recursos:</w:t>
            </w:r>
          </w:p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327"/>
              </w:tabs>
              <w:spacing w:line="251" w:lineRule="auto"/>
              <w:ind w:left="327" w:hanging="220"/>
              <w:rPr>
                <w:rFonts w:ascii="Verdana" w:cs="Verdana" w:eastAsia="Verdana" w:hAnsi="Verdan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8"/>
                <w:szCs w:val="18"/>
                <w:rtl w:val="0"/>
              </w:rPr>
              <w:t xml:space="preserve">- Orçamento: Alocar recursos financeiros para o desenvolvimento de materiais, treinamento, eventos, etc.;</w:t>
            </w:r>
          </w:p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327"/>
              </w:tabs>
              <w:spacing w:line="251" w:lineRule="auto"/>
              <w:ind w:left="327" w:hanging="22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0000"/>
                <w:sz w:val="18"/>
                <w:szCs w:val="18"/>
                <w:rtl w:val="0"/>
              </w:rPr>
              <w:t xml:space="preserve">- Equipe: Definir as responsabilidades da equipe envolvida no PTDC, incluindo gestores de projetos, especialistas em comunicação e profissionais de saúde.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before="236.72607421875" w:line="240" w:lineRule="auto"/>
        <w:ind w:left="-566.9291338582677" w:right="-615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545" w:top="16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ind w:right="-607.7952755905511"/>
      <w:jc w:val="right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/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1317625</wp:posOffset>
          </wp:positionH>
          <wp:positionV relativeFrom="paragraph">
            <wp:posOffset>-149224</wp:posOffset>
          </wp:positionV>
          <wp:extent cx="1097280" cy="357809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17857" r="0" t="0"/>
                  <a:stretch>
                    <a:fillRect/>
                  </a:stretch>
                </pic:blipFill>
                <pic:spPr>
                  <a:xfrm>
                    <a:off x="0" y="0"/>
                    <a:ext cx="1097280" cy="3578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-196849</wp:posOffset>
          </wp:positionH>
          <wp:positionV relativeFrom="paragraph">
            <wp:posOffset>-142874</wp:posOffset>
          </wp:positionV>
          <wp:extent cx="871538" cy="272829"/>
          <wp:effectExtent b="0" l="0" r="0" t="0"/>
          <wp:wrapNone/>
          <wp:docPr id="6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538" cy="2728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4648200</wp:posOffset>
          </wp:positionH>
          <wp:positionV relativeFrom="paragraph">
            <wp:posOffset>-114299</wp:posOffset>
          </wp:positionV>
          <wp:extent cx="1073320" cy="309750"/>
          <wp:effectExtent b="0" l="0" r="0" t="0"/>
          <wp:wrapNone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3320" cy="30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3060700</wp:posOffset>
          </wp:positionH>
          <wp:positionV relativeFrom="paragraph">
            <wp:posOffset>-136524</wp:posOffset>
          </wp:positionV>
          <wp:extent cx="1095375" cy="3271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5375" cy="3271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411115</wp:posOffset>
          </wp:positionH>
          <wp:positionV relativeFrom="paragraph">
            <wp:posOffset>-340994</wp:posOffset>
          </wp:positionV>
          <wp:extent cx="1531985" cy="750570"/>
          <wp:effectExtent b="0" l="0" r="0" t="0"/>
          <wp:wrapNone/>
          <wp:docPr id="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42361" r="0" t="0"/>
                  <a:stretch>
                    <a:fillRect/>
                  </a:stretch>
                </pic:blipFill>
                <pic:spPr>
                  <a:xfrm rot="21600000">
                    <a:off x="0" y="0"/>
                    <a:ext cx="1531985" cy="750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2103120</wp:posOffset>
          </wp:positionH>
          <wp:positionV relativeFrom="paragraph">
            <wp:posOffset>-266699</wp:posOffset>
          </wp:positionV>
          <wp:extent cx="3063240" cy="609263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3240" cy="6092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328" w:hanging="221.0000000000001"/>
      </w:pPr>
      <w:rPr>
        <w:u w:val="none"/>
      </w:rPr>
    </w:lvl>
    <w:lvl w:ilvl="1">
      <w:start w:val="0"/>
      <w:numFmt w:val="bullet"/>
      <w:lvlText w:val="●"/>
      <w:lvlJc w:val="left"/>
      <w:pPr>
        <w:ind w:left="827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1746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2672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3598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4524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5451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6377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7303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6.png"/><Relationship Id="rId3" Type="http://schemas.openxmlformats.org/officeDocument/2006/relationships/image" Target="media/image4.png"/><Relationship Id="rId4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