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III - PLANO DE PROMOÇÃO DA EQUIDADE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ESTE FORMULÁRIO DEVERÁ SER PREENCHIDO E SUBMETIDO NO SISC&amp;T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5.0000064" w:lineRule="auto"/>
              <w:ind w:left="1" w:right="1" w:firstLine="3.0000000000000004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Contribuição do Projeto para a Promoção da Equidade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" w:line="240" w:lineRule="auto"/>
              <w:ind w:right="1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(máximo de 3 mil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0" w:right="105.47244094488349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Apresentação: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  <w:br w:type="textWrapping"/>
              <w:t xml:space="preserve">As Políticas de Promoção da Equidade em Saúde são formadas por um conjunto de programas e ações governamentais de saúde, no âmbito do SUS, pensados para promover o respeito à diversidade e garantir o atendimento integral a populações em situação de vulnerabilidade e desigualdade social. Nesse sentido, o pesquisador deverá descrever como a pesquisa, e seus resultados potenciais, poderão contribuir para maior equidade em saúde e a inclusão de pessoa com deficiência, diversidade de gênero, étnico-racial e demais populações em vulnerabilidade. Considerar se a pesquisa pode identificar barreiras e fatores de riscos com proposição de alternativas para ampliação do acesso às ações de promoção da saúde, prevenção, diagnóstico e tratamento de doenças socialmente determinadas, considerando fatores sociais, culturais e ambientais que afetam a saúde dos povos e das comunidades tradicionais e das populações em situação de vulnerabilidade (quilombolas, ciganos, ribeirinhos e indígenas - aldeados e não aldeados, adolescentes em medida socioeducativo; migrantes, refugiados e apátridas; população LGBTQIA+ e saúde das vítimas de tráfico de pessoas).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76" w:lineRule="auto"/>
        <w:ind w:left="-425.19685039370086" w:right="-607.795275590551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-425.19685039370086" w:right="-607.795275590551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right="92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92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